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91" w:rsidRPr="00422591" w:rsidRDefault="00422591" w:rsidP="00422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591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22591" w:rsidRPr="008E4822" w:rsidRDefault="00422591" w:rsidP="0042259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E4822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422591" w:rsidRPr="00422591" w:rsidRDefault="00422591" w:rsidP="00422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591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422591" w:rsidRDefault="00422591" w:rsidP="00422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591" w:rsidRDefault="00422591" w:rsidP="00422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591" w:rsidRPr="008E4822" w:rsidRDefault="00422591" w:rsidP="00422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822">
        <w:rPr>
          <w:rFonts w:ascii="Times New Roman" w:hAnsi="Times New Roman"/>
          <w:sz w:val="28"/>
          <w:szCs w:val="28"/>
        </w:rPr>
        <w:t>РЕШЕНИЕ</w:t>
      </w:r>
    </w:p>
    <w:p w:rsidR="00422591" w:rsidRPr="002C527F" w:rsidRDefault="00422591" w:rsidP="00422591">
      <w:pPr>
        <w:jc w:val="both"/>
        <w:rPr>
          <w:sz w:val="28"/>
          <w:szCs w:val="28"/>
        </w:rPr>
      </w:pPr>
    </w:p>
    <w:p w:rsidR="00422591" w:rsidRPr="00422591" w:rsidRDefault="00422591" w:rsidP="00422591">
      <w:pPr>
        <w:ind w:left="-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 июня</w:t>
      </w:r>
      <w:r w:rsidRPr="00422591">
        <w:rPr>
          <w:rFonts w:ascii="Times New Roman" w:hAnsi="Times New Roman"/>
          <w:bCs/>
          <w:sz w:val="28"/>
          <w:szCs w:val="28"/>
        </w:rPr>
        <w:t xml:space="preserve"> 2016 года № 01-03-</w:t>
      </w:r>
      <w:r>
        <w:rPr>
          <w:rFonts w:ascii="Times New Roman" w:hAnsi="Times New Roman"/>
          <w:bCs/>
          <w:sz w:val="28"/>
          <w:szCs w:val="28"/>
        </w:rPr>
        <w:t>50</w:t>
      </w:r>
    </w:p>
    <w:p w:rsidR="00523B7B" w:rsidRPr="00561EDA" w:rsidRDefault="00523B7B" w:rsidP="00561EDA">
      <w:pPr>
        <w:spacing w:after="0"/>
        <w:rPr>
          <w:rFonts w:ascii="Times New Roman" w:hAnsi="Times New Roman"/>
          <w:sz w:val="28"/>
          <w:szCs w:val="28"/>
        </w:rPr>
      </w:pPr>
    </w:p>
    <w:p w:rsidR="00561EDA" w:rsidRPr="00561EDA" w:rsidRDefault="00561EDA" w:rsidP="00561EDA">
      <w:pPr>
        <w:spacing w:after="0"/>
        <w:ind w:left="-426" w:right="4676"/>
        <w:jc w:val="both"/>
        <w:rPr>
          <w:rFonts w:ascii="Times New Roman" w:hAnsi="Times New Roman"/>
          <w:b/>
          <w:sz w:val="28"/>
          <w:szCs w:val="28"/>
        </w:rPr>
      </w:pPr>
      <w:r w:rsidRPr="00561EDA">
        <w:rPr>
          <w:rFonts w:ascii="Times New Roman" w:hAnsi="Times New Roman"/>
          <w:b/>
          <w:sz w:val="28"/>
          <w:szCs w:val="28"/>
        </w:rPr>
        <w:t>Об информации руководителя ГБУ СДЦ «Высота» о работе ГБУ СДЦ «Высота» в 2015 году</w:t>
      </w:r>
    </w:p>
    <w:p w:rsidR="00561EDA" w:rsidRPr="00561EDA" w:rsidRDefault="00561EDA" w:rsidP="004225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1EDA" w:rsidRPr="00561EDA" w:rsidRDefault="00561EDA" w:rsidP="00561EDA">
      <w:pPr>
        <w:spacing w:after="140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 w:rsidRPr="00561ED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561EDA">
        <w:rPr>
          <w:rFonts w:ascii="Times New Roman" w:hAnsi="Times New Roman"/>
          <w:sz w:val="28"/>
          <w:szCs w:val="28"/>
        </w:rPr>
        <w:t>В</w:t>
      </w:r>
      <w:r w:rsidRPr="00561EDA">
        <w:rPr>
          <w:rFonts w:ascii="Times New Roman" w:hAnsi="Times New Roman"/>
          <w:color w:val="000000"/>
          <w:sz w:val="28"/>
          <w:szCs w:val="28"/>
        </w:rPr>
        <w:t xml:space="preserve"> соответствии с пунктом 9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ежегодную информацию руководителя  </w:t>
      </w:r>
      <w:r w:rsidRPr="00561EDA">
        <w:rPr>
          <w:rFonts w:ascii="Times New Roman" w:hAnsi="Times New Roman"/>
          <w:sz w:val="28"/>
          <w:szCs w:val="28"/>
        </w:rPr>
        <w:t>ГБУ СДЦ «Высота» о работе ГБУ СДЦ «Высота» в 2015 году</w:t>
      </w:r>
      <w:r w:rsidRPr="00561EDA">
        <w:rPr>
          <w:rStyle w:val="aa"/>
          <w:rFonts w:ascii="Times New Roman" w:hAnsi="Times New Roman"/>
          <w:color w:val="000000"/>
          <w:sz w:val="28"/>
          <w:szCs w:val="28"/>
        </w:rPr>
        <w:t xml:space="preserve"> Совет депутатов муниципального округа Чертаново Центральное решил:</w:t>
      </w:r>
      <w:proofErr w:type="gramEnd"/>
    </w:p>
    <w:p w:rsidR="00561EDA" w:rsidRPr="00561EDA" w:rsidRDefault="00561EDA" w:rsidP="004225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1EDA" w:rsidRPr="00561EDA" w:rsidRDefault="00561EDA" w:rsidP="00422591">
      <w:pPr>
        <w:spacing w:after="0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 w:rsidRPr="00561EDA">
        <w:rPr>
          <w:rFonts w:ascii="Times New Roman" w:hAnsi="Times New Roman"/>
          <w:color w:val="000000"/>
          <w:sz w:val="28"/>
          <w:szCs w:val="28"/>
        </w:rPr>
        <w:t xml:space="preserve">       1. Принять к сведению информацию руководителя </w:t>
      </w:r>
      <w:r w:rsidRPr="00561EDA">
        <w:rPr>
          <w:rFonts w:ascii="Times New Roman" w:hAnsi="Times New Roman"/>
          <w:sz w:val="28"/>
          <w:szCs w:val="28"/>
        </w:rPr>
        <w:t xml:space="preserve">ГБУ СДЦ «Высота» </w:t>
      </w:r>
      <w:proofErr w:type="spellStart"/>
      <w:r w:rsidRPr="00561EDA">
        <w:rPr>
          <w:rFonts w:ascii="Times New Roman" w:hAnsi="Times New Roman"/>
          <w:color w:val="000000"/>
          <w:sz w:val="28"/>
          <w:szCs w:val="28"/>
          <w:shd w:val="clear" w:color="auto" w:fill="F7F7F9"/>
        </w:rPr>
        <w:t>Репкиной</w:t>
      </w:r>
      <w:proofErr w:type="spellEnd"/>
      <w:r w:rsidRPr="00561EDA">
        <w:rPr>
          <w:rFonts w:ascii="Times New Roman" w:hAnsi="Times New Roman"/>
          <w:color w:val="000000"/>
          <w:sz w:val="28"/>
          <w:szCs w:val="28"/>
          <w:shd w:val="clear" w:color="auto" w:fill="F7F7F9"/>
        </w:rPr>
        <w:t xml:space="preserve"> Елены Владимировны</w:t>
      </w:r>
      <w:r w:rsidRPr="00561ED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61EDA">
        <w:rPr>
          <w:rFonts w:ascii="Times New Roman" w:hAnsi="Times New Roman"/>
          <w:sz w:val="28"/>
          <w:szCs w:val="28"/>
        </w:rPr>
        <w:t>о работе ГБУ СДЦ «Высота» в 2015 году</w:t>
      </w:r>
      <w:r w:rsidRPr="00561EDA">
        <w:rPr>
          <w:rFonts w:ascii="Times New Roman" w:hAnsi="Times New Roman"/>
          <w:color w:val="000000"/>
          <w:sz w:val="28"/>
          <w:szCs w:val="28"/>
        </w:rPr>
        <w:t xml:space="preserve"> к сведению (приложение).</w:t>
      </w:r>
    </w:p>
    <w:p w:rsidR="00561EDA" w:rsidRPr="00561EDA" w:rsidRDefault="00561EDA" w:rsidP="00422591">
      <w:pPr>
        <w:tabs>
          <w:tab w:val="left" w:pos="0"/>
        </w:tabs>
        <w:spacing w:after="0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 w:rsidRPr="00561EDA">
        <w:rPr>
          <w:rFonts w:ascii="Times New Roman" w:hAnsi="Times New Roman"/>
          <w:color w:val="000000"/>
          <w:sz w:val="28"/>
          <w:szCs w:val="28"/>
        </w:rPr>
        <w:t xml:space="preserve">       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</w:t>
      </w:r>
      <w:r w:rsidRPr="00561EDA">
        <w:rPr>
          <w:rFonts w:ascii="Times New Roman" w:hAnsi="Times New Roman"/>
          <w:sz w:val="28"/>
          <w:szCs w:val="28"/>
        </w:rPr>
        <w:t xml:space="preserve">ГБУ СДЦ «Высота» </w:t>
      </w:r>
      <w:r w:rsidRPr="00561EDA">
        <w:rPr>
          <w:rFonts w:ascii="Times New Roman" w:hAnsi="Times New Roman"/>
          <w:color w:val="000000"/>
          <w:sz w:val="28"/>
          <w:szCs w:val="28"/>
        </w:rPr>
        <w:t>и управу района Чертаново Центральное города Москвы в течение 3 дней со дня его принятия.</w:t>
      </w:r>
    </w:p>
    <w:p w:rsidR="00561EDA" w:rsidRPr="00561EDA" w:rsidRDefault="00561EDA" w:rsidP="00422591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DA">
        <w:rPr>
          <w:rFonts w:ascii="Times New Roman" w:hAnsi="Times New Roman"/>
          <w:color w:val="000000"/>
          <w:sz w:val="28"/>
          <w:szCs w:val="28"/>
        </w:rPr>
        <w:t xml:space="preserve">       3.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561EDA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http://chertanovocentr.ru/</w:t>
        </w:r>
      </w:hyperlink>
      <w:r w:rsidRPr="00561ED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1EDA" w:rsidRPr="00561EDA" w:rsidRDefault="00561EDA" w:rsidP="00422591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561EDA">
        <w:rPr>
          <w:rFonts w:ascii="Times New Roman" w:hAnsi="Times New Roman"/>
          <w:sz w:val="28"/>
          <w:szCs w:val="28"/>
        </w:rPr>
        <w:t xml:space="preserve">       4. Настоящее решение вступает в силу со дня его принятия.</w:t>
      </w:r>
    </w:p>
    <w:p w:rsidR="00561EDA" w:rsidRPr="00561EDA" w:rsidRDefault="00561EDA" w:rsidP="00422591">
      <w:pPr>
        <w:pStyle w:val="a7"/>
        <w:spacing w:line="276" w:lineRule="auto"/>
        <w:ind w:left="-426"/>
        <w:rPr>
          <w:b/>
        </w:rPr>
      </w:pPr>
      <w:r w:rsidRPr="00561EDA">
        <w:rPr>
          <w:color w:val="000000"/>
        </w:rPr>
        <w:t xml:space="preserve">       5. Контроль за выполнением настоящего решения возложить на </w:t>
      </w:r>
      <w:r w:rsidRPr="00561EDA">
        <w:rPr>
          <w:b/>
          <w:bCs/>
          <w:color w:val="000000"/>
        </w:rPr>
        <w:t xml:space="preserve">главу муниципального округа Чертаново </w:t>
      </w:r>
      <w:proofErr w:type="gramStart"/>
      <w:r w:rsidRPr="00561EDA">
        <w:rPr>
          <w:b/>
          <w:bCs/>
          <w:color w:val="000000"/>
        </w:rPr>
        <w:t>Центральное</w:t>
      </w:r>
      <w:proofErr w:type="gramEnd"/>
      <w:r w:rsidRPr="00561EDA">
        <w:rPr>
          <w:b/>
          <w:bCs/>
          <w:color w:val="000000"/>
        </w:rPr>
        <w:t xml:space="preserve"> </w:t>
      </w:r>
      <w:proofErr w:type="spellStart"/>
      <w:r w:rsidRPr="00561EDA">
        <w:rPr>
          <w:b/>
          <w:bCs/>
          <w:color w:val="000000"/>
        </w:rPr>
        <w:t>Пожарову</w:t>
      </w:r>
      <w:proofErr w:type="spellEnd"/>
      <w:r w:rsidRPr="00561EDA">
        <w:rPr>
          <w:b/>
          <w:bCs/>
          <w:color w:val="000000"/>
        </w:rPr>
        <w:t xml:space="preserve"> Н.И.</w:t>
      </w:r>
    </w:p>
    <w:p w:rsidR="00561EDA" w:rsidRPr="00561EDA" w:rsidRDefault="00561EDA" w:rsidP="00561EDA">
      <w:pPr>
        <w:pStyle w:val="a7"/>
        <w:spacing w:line="276" w:lineRule="auto"/>
        <w:ind w:left="-426" w:firstLine="284"/>
        <w:rPr>
          <w:b/>
        </w:rPr>
      </w:pPr>
    </w:p>
    <w:p w:rsidR="00561EDA" w:rsidRPr="00561EDA" w:rsidRDefault="00561EDA" w:rsidP="000B5D7F">
      <w:pPr>
        <w:pStyle w:val="a7"/>
        <w:spacing w:line="276" w:lineRule="auto"/>
        <w:rPr>
          <w:b/>
        </w:rPr>
      </w:pPr>
    </w:p>
    <w:p w:rsidR="00256E6E" w:rsidRDefault="00D45C79" w:rsidP="00256E6E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61EDA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0B5D7F" w:rsidRPr="000B5D7F" w:rsidRDefault="00561EDA" w:rsidP="00256E6E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61EDA">
        <w:rPr>
          <w:rFonts w:ascii="Times New Roman" w:hAnsi="Times New Roman"/>
          <w:b/>
          <w:bCs/>
          <w:color w:val="000000"/>
          <w:sz w:val="28"/>
          <w:szCs w:val="28"/>
        </w:rPr>
        <w:t>Чертаново Центральное</w:t>
      </w:r>
      <w:r w:rsidR="00D45C79" w:rsidRPr="00561EDA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45C79" w:rsidRPr="00561EDA">
        <w:rPr>
          <w:rFonts w:ascii="Times New Roman" w:hAnsi="Times New Roman"/>
          <w:b/>
          <w:sz w:val="28"/>
          <w:szCs w:val="28"/>
        </w:rPr>
        <w:t xml:space="preserve">     Н.И. </w:t>
      </w:r>
      <w:proofErr w:type="spellStart"/>
      <w:r w:rsidR="00D45C79" w:rsidRPr="00561EDA">
        <w:rPr>
          <w:rFonts w:ascii="Times New Roman" w:hAnsi="Times New Roman"/>
          <w:b/>
          <w:sz w:val="28"/>
          <w:szCs w:val="28"/>
        </w:rPr>
        <w:t>Пожарова</w:t>
      </w:r>
      <w:proofErr w:type="spellEnd"/>
      <w:r w:rsidR="00D45C79" w:rsidRPr="00561EDA">
        <w:rPr>
          <w:rFonts w:ascii="Times New Roman" w:hAnsi="Times New Roman"/>
          <w:sz w:val="28"/>
          <w:szCs w:val="28"/>
        </w:rPr>
        <w:t xml:space="preserve"> </w:t>
      </w:r>
      <w:r w:rsidR="00D45C79" w:rsidRPr="00561EDA">
        <w:rPr>
          <w:rFonts w:ascii="Times New Roman" w:hAnsi="Times New Roman"/>
          <w:sz w:val="28"/>
          <w:szCs w:val="28"/>
        </w:rPr>
        <w:br w:type="page"/>
      </w:r>
      <w:r w:rsidR="00256E6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bookmarkStart w:id="0" w:name="_GoBack"/>
      <w:bookmarkEnd w:id="0"/>
      <w:r w:rsidR="000B5D7F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0B5D7F" w:rsidRDefault="000B5D7F" w:rsidP="000B5D7F">
      <w:pPr>
        <w:spacing w:after="0" w:line="240" w:lineRule="auto"/>
        <w:ind w:left="524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решению Совета депутатов</w:t>
      </w:r>
    </w:p>
    <w:p w:rsidR="000B5D7F" w:rsidRDefault="000B5D7F" w:rsidP="000B5D7F">
      <w:pPr>
        <w:spacing w:after="0" w:line="240" w:lineRule="auto"/>
        <w:ind w:left="524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округа</w:t>
      </w:r>
    </w:p>
    <w:p w:rsidR="000B5D7F" w:rsidRDefault="000B5D7F" w:rsidP="000B5D7F">
      <w:pPr>
        <w:spacing w:after="0" w:line="240" w:lineRule="auto"/>
        <w:ind w:left="524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Чертаново Центральное</w:t>
      </w:r>
    </w:p>
    <w:p w:rsidR="000B5D7F" w:rsidRDefault="000B5D7F" w:rsidP="000B5D7F">
      <w:pPr>
        <w:spacing w:after="0" w:line="240" w:lineRule="auto"/>
        <w:ind w:left="524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23 июня 2016 г.</w:t>
      </w:r>
    </w:p>
    <w:p w:rsidR="000B5D7F" w:rsidRDefault="000B5D7F" w:rsidP="000B5D7F">
      <w:pPr>
        <w:spacing w:after="0" w:line="240" w:lineRule="auto"/>
        <w:ind w:left="524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01-03-50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D7F" w:rsidRDefault="000B5D7F" w:rsidP="000B5D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 О РАБОТЕ ГБУ СДЦ "ВЫСОТА" ЗА 2015 ГОД</w:t>
      </w:r>
    </w:p>
    <w:p w:rsidR="000B5D7F" w:rsidRDefault="000B5D7F" w:rsidP="000B5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Государственное бюджетное учреждение города Москвы "Спортивно - досуговый центр "Высота"</w:t>
      </w:r>
      <w:r>
        <w:rPr>
          <w:rFonts w:ascii="Times New Roman" w:hAnsi="Times New Roman"/>
          <w:sz w:val="28"/>
          <w:szCs w:val="28"/>
        </w:rPr>
        <w:t xml:space="preserve"> создано внутригородским муниципальным образованием Чертаново Центральное в городе Москве на основании постановления муниципалитета от 28 ноября 2006 года № 01-04-218. Наименование учреждения при создании: Муниципальное учреждение Центр развития личности "</w:t>
      </w:r>
      <w:proofErr w:type="spellStart"/>
      <w:r>
        <w:rPr>
          <w:rFonts w:ascii="Times New Roman" w:hAnsi="Times New Roman"/>
          <w:sz w:val="28"/>
          <w:szCs w:val="28"/>
        </w:rPr>
        <w:t>Оптиум</w:t>
      </w:r>
      <w:proofErr w:type="spellEnd"/>
      <w:r>
        <w:rPr>
          <w:rFonts w:ascii="Times New Roman" w:hAnsi="Times New Roman"/>
          <w:sz w:val="28"/>
          <w:szCs w:val="28"/>
        </w:rPr>
        <w:t xml:space="preserve"> - классик".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муниципалитета внутригородского муниципального образования Чертаново Центральное в городе Москве от 19.09.2011 года № 01-04-324 учреждение переименовано в Муниципальное бюджетное учреждение Спортивно - досуговый центр "Высота".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распоряжения Правительства Москвы от 26.04.2013 года № 224-РП "О принятии муниципальных учреждений муниципальных округов в городе Москве" распоряжением Префектуры Южного административного округа города Москвы от 30.04.2013 года № 01-41-129 Муниципальное бюджетное учреждение "Спортивно - досуговый центр "Высота" переименовано в Государственное бюджетное учреждение "Спортивно - досуговый центр "Высота" с 01.05.2013 года. Утвержден новый Устав учреждения, государственное задание и план финансово - хозяйственной деятельности.</w:t>
      </w:r>
    </w:p>
    <w:p w:rsidR="000B5D7F" w:rsidRDefault="000B5D7F" w:rsidP="000B5D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2015 г. ГБУ СДЦ «Высота» было выделено на выполнение Государственного задания 17 199 300 руб. 00 копеек (на досуговую деятельность - 5 890 500 рублей 00 копеек, на спортивную деятельность – 11 308 800 рублей 00 копеек.</w:t>
      </w:r>
      <w:proofErr w:type="gramEnd"/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D7F" w:rsidRDefault="000B5D7F" w:rsidP="000B5D7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Субсидия на выполнение государственного задания ГБУ СДЦ «Высота» была распределена следующим образом: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оплата труда и начисления на выплаты по оплате труда-8 752 636 рублей 00 копеек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досугу -3074744 рублей 00 копеек, по спорту – 5 677 892 рублей 00 копеек);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оплату услуг связи, коммунальных услуг, содержание имущества и прочих работ, услуг, закупку материальных запасов и основных средств, необходимых для функционирования центра- 8 446 664 рублей 00 копеек (по досугу -2 815 756 рублей 00 копеек, по спорту – 5 630 908 рублей 00 копеек);</w:t>
      </w:r>
    </w:p>
    <w:p w:rsidR="000B5D7F" w:rsidRDefault="000B5D7F" w:rsidP="000B5D7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B5D7F" w:rsidRDefault="000B5D7F" w:rsidP="000B5D7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B5D7F" w:rsidRDefault="000B5D7F" w:rsidP="000B5D7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 выделенные деньги ГБУ СДЦ «Высота» были проведены следующие конкурентные закупки: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-Открытых конкурсов – 3 на </w:t>
      </w:r>
      <w:proofErr w:type="gramStart"/>
      <w:r>
        <w:rPr>
          <w:rFonts w:ascii="Times New Roman" w:hAnsi="Times New Roman"/>
          <w:sz w:val="28"/>
          <w:szCs w:val="28"/>
        </w:rPr>
        <w:t>общую</w:t>
      </w:r>
      <w:proofErr w:type="gramEnd"/>
      <w:r>
        <w:rPr>
          <w:rFonts w:ascii="Times New Roman" w:hAnsi="Times New Roman"/>
          <w:sz w:val="28"/>
          <w:szCs w:val="28"/>
        </w:rPr>
        <w:t xml:space="preserve"> сумму-3 072 450 рублей 00 копеек;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-Электронных аукционов – 4 на общую сумму – 1 580 000 рублей 00 копеек;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-Запросов котировок – 5- на общую сумму – 1 156 175 рублей 80 копеек.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Дополнительно была выделена целевая субсидия на закупку спортивного инвентаря -125 000 рублей 00 копеек.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Штатная численность по состоянию на 01.01.2015 года составила 38 штатных единиц, из них - 27 основной персонал и 11 совместителей. АУП – 3 человека, педагогов - организаторов-13 человек, тренеров 18 человек - вспомогательный персонал - 4 человека.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0B5D7F" w:rsidRDefault="000B5D7F" w:rsidP="000B5D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 СДЦ "Высота" проводит досуговою, социально-воспитательную, физкультурно-оздоровительную и спортивную работу с жителями района Чертаново Центральное в возрасте от 3 лет и старше по следующим направлениям: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организация содержательного досуга (клуб "Ретро", студия бальных танцев "Полонез");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социально - воспитательная работа с населением, в том числе работа с </w:t>
      </w:r>
      <w:proofErr w:type="gramStart"/>
      <w:r>
        <w:rPr>
          <w:rFonts w:ascii="Times New Roman" w:hAnsi="Times New Roman"/>
          <w:sz w:val="28"/>
          <w:szCs w:val="28"/>
        </w:rPr>
        <w:t>несовершеннолетними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состоящими на учете в КДН (ДМОО "Диалог", АК "Метеор"). 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- художественно - эстетическое творчество, различные виды искусств (студия "Краски", студия "Фантазия", студия альтернативной хореографии "Ремейк", семейный клуб "альтернатива");</w:t>
      </w:r>
      <w:proofErr w:type="gramEnd"/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оздоровительная и спортивная работа (шахматный клуб "Белый слон", секции "Айкидо", секция "Йоги", секция "Футбол", секция "Бадминтон", секция "</w:t>
      </w:r>
      <w:proofErr w:type="spellStart"/>
      <w:r>
        <w:rPr>
          <w:rFonts w:ascii="Times New Roman" w:hAnsi="Times New Roman"/>
          <w:sz w:val="28"/>
          <w:szCs w:val="28"/>
        </w:rPr>
        <w:t>Кобудо</w:t>
      </w:r>
      <w:proofErr w:type="spellEnd"/>
      <w:r>
        <w:rPr>
          <w:rFonts w:ascii="Times New Roman" w:hAnsi="Times New Roman"/>
          <w:sz w:val="28"/>
          <w:szCs w:val="28"/>
        </w:rPr>
        <w:t xml:space="preserve">", секция "Хоккей и </w:t>
      </w:r>
      <w:proofErr w:type="spellStart"/>
      <w:r>
        <w:rPr>
          <w:rFonts w:ascii="Times New Roman" w:hAnsi="Times New Roman"/>
          <w:sz w:val="28"/>
          <w:szCs w:val="28"/>
        </w:rPr>
        <w:t>роллеркей</w:t>
      </w:r>
      <w:proofErr w:type="spellEnd"/>
      <w:r>
        <w:rPr>
          <w:rFonts w:ascii="Times New Roman" w:hAnsi="Times New Roman"/>
          <w:sz w:val="28"/>
          <w:szCs w:val="28"/>
        </w:rPr>
        <w:t>");</w:t>
      </w:r>
      <w:proofErr w:type="gramEnd"/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патриотическое воспитание детей, подростков и молодежи (ДМОО "Диалог");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работа с различными категориями населения по передаче культурного наследия, продолжению семейных традиций духовно - нравственного воспитания детей, подростков и молодежи (Центр духовно - эстетического развития "Светоч").</w:t>
      </w:r>
    </w:p>
    <w:p w:rsidR="000B5D7F" w:rsidRDefault="000B5D7F" w:rsidP="000B5D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7F" w:rsidRDefault="000B5D7F" w:rsidP="000B5D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Сохранена сеть бесплатных досуговых и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оздоровительных кружков, секций и студий, уже существующих на территории района Чертаново </w:t>
      </w:r>
      <w:proofErr w:type="gramStart"/>
      <w:r>
        <w:rPr>
          <w:rFonts w:ascii="Times New Roman" w:hAnsi="Times New Roman"/>
          <w:sz w:val="28"/>
          <w:szCs w:val="28"/>
        </w:rPr>
        <w:t>Центральное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и пользующихся популярностью у жителей. 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Приоритетным направлением в работе ГБУ СДЦ "Высота" является авиамодельный спорт. В учреждении функционирует 3 </w:t>
      </w:r>
      <w:proofErr w:type="gramStart"/>
      <w:r>
        <w:rPr>
          <w:rFonts w:ascii="Times New Roman" w:hAnsi="Times New Roman"/>
          <w:sz w:val="28"/>
          <w:szCs w:val="28"/>
        </w:rPr>
        <w:t>авиамодельных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клуба, механическая мастерская и секция стендового моделизма. Воспитанники клубов и сами тренера являются многократными чемпионами </w:t>
      </w:r>
      <w:r>
        <w:rPr>
          <w:rFonts w:ascii="Times New Roman" w:hAnsi="Times New Roman"/>
          <w:sz w:val="28"/>
          <w:szCs w:val="28"/>
        </w:rPr>
        <w:lastRenderedPageBreak/>
        <w:t>этапов Кубков Мира, абсолютными чемпионами среди юниоров России, чемпионами Этапа чемпионата Европы 2015 года.</w:t>
      </w:r>
    </w:p>
    <w:p w:rsidR="000B5D7F" w:rsidRDefault="000B5D7F" w:rsidP="000B5D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7F" w:rsidRDefault="000B5D7F" w:rsidP="000B5D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в различных кружках и секциях занималось более 1000 человек проживающих на территории района.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Развивается платное направление в работе учреждения. 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ГБУ СДЦ "Высота использовали 10 помещений по 10 адресам на территории района: 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ул. Красного Маяка, 5-1-73 (студия "Фантазия", студия "Краски", шахматный клуб "Белый слон", ДМОО «Диалог»)</w:t>
      </w:r>
      <w:proofErr w:type="gramEnd"/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Красного Маяка, 11-1-109 (Центр духовно - эстетического развития "Светоч")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ул. Кировоградская, 24-2-73 (Семейный клуб "Альтернатива")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-Варшавское шоссе, 142-1-66 (Авиамодельный клуб "Высота" школа высшего спортивного мастерства)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Чертановская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ул., 44 цоколь (Авиамодельный клуб "Метеор")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Чертановская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ул., 29-1-182 (Авиамодельный клуб "Авиамоделист", секция стендового моделизма)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Чертановская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ул., 30А (студия альтернативной хореографии "</w:t>
      </w:r>
      <w:proofErr w:type="spellStart"/>
      <w:r>
        <w:rPr>
          <w:rFonts w:ascii="Times New Roman" w:hAnsi="Times New Roman"/>
          <w:sz w:val="28"/>
          <w:szCs w:val="28"/>
        </w:rPr>
        <w:t>Римейк</w:t>
      </w:r>
      <w:proofErr w:type="spellEnd"/>
      <w:r>
        <w:rPr>
          <w:rFonts w:ascii="Times New Roman" w:hAnsi="Times New Roman"/>
          <w:sz w:val="28"/>
          <w:szCs w:val="28"/>
        </w:rPr>
        <w:t>", студия бального танца "Полонез", секция "Йоги", секция "Айкидо", секция "</w:t>
      </w:r>
      <w:proofErr w:type="spellStart"/>
      <w:r>
        <w:rPr>
          <w:rFonts w:ascii="Times New Roman" w:hAnsi="Times New Roman"/>
          <w:sz w:val="28"/>
          <w:szCs w:val="28"/>
        </w:rPr>
        <w:t>Кобудо</w:t>
      </w:r>
      <w:proofErr w:type="spellEnd"/>
      <w:r>
        <w:rPr>
          <w:rFonts w:ascii="Times New Roman" w:hAnsi="Times New Roman"/>
          <w:sz w:val="28"/>
          <w:szCs w:val="28"/>
        </w:rPr>
        <w:t>")</w:t>
      </w:r>
      <w:proofErr w:type="gramEnd"/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-ул. </w:t>
      </w:r>
      <w:proofErr w:type="gramStart"/>
      <w:r>
        <w:rPr>
          <w:rFonts w:ascii="Times New Roman" w:hAnsi="Times New Roman"/>
          <w:sz w:val="28"/>
          <w:szCs w:val="28"/>
        </w:rPr>
        <w:t>Днепропетровская</w:t>
      </w:r>
      <w:proofErr w:type="gramEnd"/>
      <w:r>
        <w:rPr>
          <w:rFonts w:ascii="Times New Roman" w:hAnsi="Times New Roman"/>
          <w:sz w:val="28"/>
          <w:szCs w:val="28"/>
        </w:rPr>
        <w:t>, 5-5-147 (клуб общения "Ретро")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Преимущественно в помещениях проводиться досуговая работа, организованны кружки, а так же игровые виды спорта, которые позволяют разместиться на небольшой площади. На наш взгляд это способствует как раз передачи духовного наследия, обмену опытом среди разного поколения, продолжению семейных </w:t>
      </w:r>
      <w:proofErr w:type="gramStart"/>
      <w:r>
        <w:rPr>
          <w:rFonts w:ascii="Times New Roman" w:hAnsi="Times New Roman"/>
          <w:sz w:val="28"/>
          <w:szCs w:val="28"/>
        </w:rPr>
        <w:t>традиций</w:t>
      </w:r>
      <w:proofErr w:type="gramEnd"/>
      <w:r>
        <w:rPr>
          <w:rFonts w:ascii="Times New Roman" w:hAnsi="Times New Roman"/>
          <w:sz w:val="28"/>
          <w:szCs w:val="28"/>
        </w:rPr>
        <w:t xml:space="preserve"> т.е. то, ради чего в свое время создавались учреждения. 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улучшения качества работы ГБУ при поддержке управы района Чертаново Центральное в 2015 году Департаментом городского имущества города Москвы учреждению переданы в оперативное управления дополнительные помещения по адресам: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ул. </w:t>
      </w:r>
      <w:proofErr w:type="spellStart"/>
      <w:r>
        <w:rPr>
          <w:rFonts w:ascii="Times New Roman" w:hAnsi="Times New Roman"/>
          <w:sz w:val="28"/>
          <w:szCs w:val="28"/>
        </w:rPr>
        <w:t>Чертановская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30, строение 1 общей площадью 281,2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Варшавское шоссе, дом 144, корпус 1 общей площадью 50,3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Варшавское шоссе, дом 144, корпус 1 общей площадью 132, 3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Мероприятия проводились в соответствии с утвержденным государственным заданием, а также в рамках календарного плана мероприятий на 2015 год. ГБУ СДЦ "Высота" было организованно и проведено 282 мероприятия с охватом населения около 9246 человек, из них: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- 184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оздоровительных мероприятия;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- 98 фестивалей, смотр - конкурсов, культурно - массовых и социально - значимых мероприятий;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педагоги, тренера и воспитанники принимали активное участие в районных, окружных, городских и региональных мероприятиях по программам "Спорт Москвы", "Московский двор - спортивный двор", </w:t>
      </w:r>
      <w:r>
        <w:rPr>
          <w:rFonts w:ascii="Times New Roman" w:hAnsi="Times New Roman"/>
          <w:sz w:val="28"/>
          <w:szCs w:val="28"/>
        </w:rPr>
        <w:lastRenderedPageBreak/>
        <w:t xml:space="preserve">"Спортивное долголетие", "Спорт для всех", спартакиада "Мир равных возможностей", спартакиада по профилактике и правонарушении среди несовершеннолетних, соревнования по авиамодельному спорту, "Культура Москвы". Доля призовых мест составила более 50% (выше показателя ГЗ на 2015 год!!!). </w:t>
      </w:r>
    </w:p>
    <w:p w:rsidR="000B5D7F" w:rsidRDefault="000B5D7F" w:rsidP="000B5D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5D7F" w:rsidRDefault="000B5D7F" w:rsidP="000B5D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Были проведены мероприятия, посвященные календарным памятным датам: 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Культурно – массовое мероприятие «Мы выбираем жизнь»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Спортивно-массовое мероприятие «Нет тебя краше, родная Москва!» 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 значимое мероприятие «Просто скажи «Нет!»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Спортивно-массовое мероприятие «Для тех, кто годы не считает»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Пять человек принимавших активное участие в данных мероприятиях в </w:t>
      </w:r>
      <w:proofErr w:type="gramStart"/>
      <w:r>
        <w:rPr>
          <w:rFonts w:ascii="Times New Roman" w:hAnsi="Times New Roman"/>
          <w:sz w:val="28"/>
          <w:szCs w:val="28"/>
        </w:rPr>
        <w:t>летнею</w:t>
      </w:r>
      <w:proofErr w:type="gramEnd"/>
      <w:r>
        <w:rPr>
          <w:rFonts w:ascii="Times New Roman" w:hAnsi="Times New Roman"/>
          <w:sz w:val="28"/>
          <w:szCs w:val="28"/>
        </w:rPr>
        <w:t xml:space="preserve"> оздоровительную компанию 2015 года по льготным путевкам для детей участников творческих коллективов выезжали в </w:t>
      </w:r>
      <w:proofErr w:type="spellStart"/>
      <w:r>
        <w:rPr>
          <w:rFonts w:ascii="Times New Roman" w:hAnsi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курортное объединение "Смена", Краснодарский край, г. Анапа.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2015 года постоянно проводилось сопровождение детей 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подростков состоящих на учете в КДН и ЗП, все подростки были 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привлечены  к организации и проведению мероприятий ГБУ, а </w:t>
      </w:r>
      <w:proofErr w:type="gramEnd"/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к участию в районных и окружных мероприятиях.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Каждый подросток, состоящий на учете в КДН и ЗП  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выбирать занятия в  клубе по своему интересу. 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Государственное задание 2015 года ГБУ «Высота» выполнила на 100%.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населения, а также освещение деятельности осуществляется через информационные конструкции, социальные сети, сайт управы района Чертаново Центральное.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настоящее время разработан сайт ГБУ СДЦ «Высота».</w:t>
      </w: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D7F" w:rsidRDefault="000B5D7F" w:rsidP="000B5D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B35DC" w:rsidRPr="00561EDA" w:rsidRDefault="000B35DC" w:rsidP="000B5D7F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</w:p>
    <w:sectPr w:rsidR="000B35DC" w:rsidRPr="00561EDA" w:rsidSect="00D45C79">
      <w:pgSz w:w="11906" w:h="16838"/>
      <w:pgMar w:top="1134" w:right="851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1AC7"/>
    <w:multiLevelType w:val="hybridMultilevel"/>
    <w:tmpl w:val="108AF33A"/>
    <w:lvl w:ilvl="0" w:tplc="8A3216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2983D93"/>
    <w:multiLevelType w:val="hybridMultilevel"/>
    <w:tmpl w:val="7A220F50"/>
    <w:lvl w:ilvl="0" w:tplc="4F82AFBE">
      <w:start w:val="1"/>
      <w:numFmt w:val="decimal"/>
      <w:lvlText w:val="%1."/>
      <w:lvlJc w:val="left"/>
      <w:pPr>
        <w:ind w:left="970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D4"/>
    <w:rsid w:val="000B35DC"/>
    <w:rsid w:val="000B5D7F"/>
    <w:rsid w:val="00246690"/>
    <w:rsid w:val="00256E6E"/>
    <w:rsid w:val="002A2127"/>
    <w:rsid w:val="00422591"/>
    <w:rsid w:val="00523B7B"/>
    <w:rsid w:val="00561EDA"/>
    <w:rsid w:val="006411B8"/>
    <w:rsid w:val="007A76E1"/>
    <w:rsid w:val="008E4822"/>
    <w:rsid w:val="009C1BFF"/>
    <w:rsid w:val="009C3BE3"/>
    <w:rsid w:val="00A47958"/>
    <w:rsid w:val="00A76101"/>
    <w:rsid w:val="00C45908"/>
    <w:rsid w:val="00CE79CF"/>
    <w:rsid w:val="00D45C79"/>
    <w:rsid w:val="00E315CD"/>
    <w:rsid w:val="00ED04D4"/>
    <w:rsid w:val="00F433EA"/>
    <w:rsid w:val="00FE1DE5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D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DE5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523B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23B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14">
    <w:name w:val="Pa14"/>
    <w:basedOn w:val="a"/>
    <w:next w:val="a"/>
    <w:uiPriority w:val="99"/>
    <w:rsid w:val="00523B7B"/>
    <w:pPr>
      <w:autoSpaceDE w:val="0"/>
      <w:autoSpaceDN w:val="0"/>
      <w:adjustRightInd w:val="0"/>
      <w:spacing w:after="0" w:line="201" w:lineRule="atLeast"/>
    </w:pPr>
    <w:rPr>
      <w:rFonts w:ascii="NewBaskervilleC" w:eastAsiaTheme="minorHAnsi" w:hAnsi="NewBaskervilleC" w:cstheme="minorBidi"/>
      <w:sz w:val="24"/>
      <w:szCs w:val="24"/>
    </w:rPr>
  </w:style>
  <w:style w:type="paragraph" w:styleId="a9">
    <w:name w:val="No Spacing"/>
    <w:uiPriority w:val="1"/>
    <w:qFormat/>
    <w:rsid w:val="0052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45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5C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C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561EDA"/>
    <w:rPr>
      <w:b/>
      <w:bCs/>
    </w:rPr>
  </w:style>
  <w:style w:type="character" w:styleId="ab">
    <w:name w:val="Emphasis"/>
    <w:basedOn w:val="a0"/>
    <w:uiPriority w:val="20"/>
    <w:qFormat/>
    <w:rsid w:val="00561E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D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DE5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523B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23B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14">
    <w:name w:val="Pa14"/>
    <w:basedOn w:val="a"/>
    <w:next w:val="a"/>
    <w:uiPriority w:val="99"/>
    <w:rsid w:val="00523B7B"/>
    <w:pPr>
      <w:autoSpaceDE w:val="0"/>
      <w:autoSpaceDN w:val="0"/>
      <w:adjustRightInd w:val="0"/>
      <w:spacing w:after="0" w:line="201" w:lineRule="atLeast"/>
    </w:pPr>
    <w:rPr>
      <w:rFonts w:ascii="NewBaskervilleC" w:eastAsiaTheme="minorHAnsi" w:hAnsi="NewBaskervilleC" w:cstheme="minorBidi"/>
      <w:sz w:val="24"/>
      <w:szCs w:val="24"/>
    </w:rPr>
  </w:style>
  <w:style w:type="paragraph" w:styleId="a9">
    <w:name w:val="No Spacing"/>
    <w:uiPriority w:val="1"/>
    <w:qFormat/>
    <w:rsid w:val="0052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45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5C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C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561EDA"/>
    <w:rPr>
      <w:b/>
      <w:bCs/>
    </w:rPr>
  </w:style>
  <w:style w:type="character" w:styleId="ab">
    <w:name w:val="Emphasis"/>
    <w:basedOn w:val="a0"/>
    <w:uiPriority w:val="20"/>
    <w:qFormat/>
    <w:rsid w:val="00561E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23</cp:revision>
  <cp:lastPrinted>2016-04-26T13:46:00Z</cp:lastPrinted>
  <dcterms:created xsi:type="dcterms:W3CDTF">2016-03-16T12:56:00Z</dcterms:created>
  <dcterms:modified xsi:type="dcterms:W3CDTF">2016-06-23T07:29:00Z</dcterms:modified>
</cp:coreProperties>
</file>